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AF9D" w14:textId="77777777" w:rsidR="002E195B" w:rsidRDefault="002E195B" w:rsidP="002E195B">
      <w:pPr>
        <w:spacing w:after="0"/>
        <w:jc w:val="both"/>
        <w:outlineLvl w:val="0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Звіт </w:t>
      </w:r>
    </w:p>
    <w:p w14:paraId="39A90974" w14:textId="77777777" w:rsidR="002E195B" w:rsidRDefault="002E195B" w:rsidP="002E195B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про роботу </w:t>
      </w:r>
    </w:p>
    <w:p w14:paraId="24DC84CE" w14:textId="77777777" w:rsidR="002E195B" w:rsidRDefault="002E195B" w:rsidP="002E195B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старости Полянецького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округу</w:t>
      </w:r>
    </w:p>
    <w:p w14:paraId="3ADF8843" w14:textId="77777777" w:rsidR="002E195B" w:rsidRDefault="002E195B" w:rsidP="002E195B">
      <w:pPr>
        <w:spacing w:after="0"/>
        <w:jc w:val="both"/>
        <w:outlineLvl w:val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за 2023рік.</w:t>
      </w:r>
    </w:p>
    <w:p w14:paraId="2C7B3960" w14:textId="77777777" w:rsidR="002E195B" w:rsidRDefault="002E195B" w:rsidP="002E195B">
      <w:pPr>
        <w:spacing w:after="0"/>
        <w:jc w:val="both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0E54D2D9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складу Полянецького старостату входить 4 населених пункти: с. Полянецьке, Глибочок, Островка, Квітка, в яких нараховується 950 домогосподарств.</w:t>
      </w:r>
    </w:p>
    <w:p w14:paraId="6729806F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Площа сільської ради складає 6007 га. Населення старостату на 01.01.2024 року – 847 чол. З них: працездатних 453 чол., 276 пенсіонери, молодь до 18 років 124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числі:</w:t>
      </w:r>
    </w:p>
    <w:p w14:paraId="3E31059B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с. Полянецьке – 739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79B0D8A2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с. Глибочок   - 91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14:paraId="1073AA14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с. Островка     - 17 чол..</w:t>
      </w:r>
    </w:p>
    <w:p w14:paraId="4050720B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території старостату проживає: 11 багатодітних сімей, в яких виховується 42 дітей, 24 малозабезпечених сімей, 16 матерів одиначок, які виховують 26 дітей.  У 1 будинку сімейного типу  виховуються 5 дітей-сиріт і одна прийомна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 виховуються 2 дітей-сиріт, 3 дитини під опікою. </w:t>
      </w:r>
    </w:p>
    <w:p w14:paraId="6933F359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У 202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народилось   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 , померло 16 людей.</w:t>
      </w:r>
    </w:p>
    <w:p w14:paraId="090B97FE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старостату функціонує:</w:t>
      </w:r>
    </w:p>
    <w:p w14:paraId="1CD2AC04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- 3 агроформування - ТДВ АПК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Саврань»,ТОВ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АПК»Саврань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та ПП «Добробут»; </w:t>
      </w:r>
    </w:p>
    <w:p w14:paraId="591DC688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131 житель старостату обробляють свої земельні ділянки одноосібно.</w:t>
      </w:r>
    </w:p>
    <w:p w14:paraId="66562845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53C93E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- 2 заклади медицини: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амбулаторія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Глибочанський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ФАП;</w:t>
      </w:r>
    </w:p>
    <w:p w14:paraId="335C11C3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- 2 заклади культури: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культури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Глибочанський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клуб.</w:t>
      </w:r>
    </w:p>
    <w:p w14:paraId="6E222F31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796456" w14:textId="7777777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с. Полянецьке  працює сільська бібліотека;</w:t>
      </w:r>
    </w:p>
    <w:p w14:paraId="18FD0C5C" w14:textId="1F0DDB37" w:rsidR="002E195B" w:rsidRDefault="002E195B" w:rsidP="002E19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Працює філіал Савранської музикальної школи,</w:t>
      </w:r>
      <w:r w:rsidR="000D6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 навчаються </w:t>
      </w:r>
      <w:r w:rsidR="00C21A83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83">
        <w:rPr>
          <w:rFonts w:ascii="Times New Roman" w:hAnsi="Times New Roman" w:cs="Times New Roman"/>
          <w:sz w:val="28"/>
          <w:szCs w:val="28"/>
          <w:lang w:val="uk-UA"/>
        </w:rPr>
        <w:t>14 дітей.</w:t>
      </w:r>
    </w:p>
    <w:p w14:paraId="3ECFD214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ліцей, в якому навчається 98 дітей, а в дошкільному підрозділі даного закладу освіти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виховується  19 малят.</w:t>
      </w:r>
    </w:p>
    <w:p w14:paraId="45BB2CFF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BA0369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21A5A4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початку вторгнення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старостат активно включився до заходів передбачених введенням військово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>го стану. На протязі 2023 року б</w:t>
      </w:r>
      <w:r>
        <w:rPr>
          <w:rFonts w:ascii="Times New Roman" w:hAnsi="Times New Roman" w:cs="Times New Roman"/>
          <w:sz w:val="28"/>
          <w:szCs w:val="28"/>
          <w:lang w:val="uk-UA"/>
        </w:rPr>
        <w:t>ув організов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>аний збір продуктів для потреб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СУ. Жителі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старостату активно долучалися до допомоги ЗСУ. Велику допомогу нашим воїнам надали сільгоспвиробники,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які працюють на території старостату це ТДВ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АПК «Саврань», ТОВ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АПК </w:t>
      </w:r>
      <w:r>
        <w:rPr>
          <w:rFonts w:ascii="Times New Roman" w:hAnsi="Times New Roman" w:cs="Times New Roman"/>
          <w:sz w:val="28"/>
          <w:szCs w:val="28"/>
          <w:lang w:val="uk-UA"/>
        </w:rPr>
        <w:t>«Саврань»,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ПП«Добробут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   допомагаючи технікою, запчастинами, паливом, продуктовими наборами, коштами, тощо. Значну допомогу воїнам надав депутат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ліцей виготовляв маскувальні сітки,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випікав солодощі та пироги,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проводив благодійні ярмарки для збору коштів на ЗСУ.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Колетив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Полянецького будинку культури своїми благодійними концертами на підтримку ЗСУ, збирав кошти на ті речі,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потрібні нашим землякам на фронті. Жителька Полянецького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Дідуренко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Леся та її помічники виготовляли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мясні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хлібобулочні вироби, які передавалися волонтерами на фронт. 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>Працівники с</w:t>
      </w:r>
      <w:r>
        <w:rPr>
          <w:rFonts w:ascii="Times New Roman" w:hAnsi="Times New Roman" w:cs="Times New Roman"/>
          <w:sz w:val="28"/>
          <w:szCs w:val="28"/>
          <w:lang w:val="uk-UA"/>
        </w:rPr>
        <w:t>таростат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>у  постійно брали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участь у благодійних ярмарках,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зборі коштів на техніку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6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виготовлення окопних свічок та виготовлення маскувальних сіток.</w:t>
      </w:r>
    </w:p>
    <w:p w14:paraId="4CDC5DE4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До старостату у 2023 році звернулося 5 людей для взяття на облік,</w:t>
      </w:r>
      <w:r w:rsidR="00746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 внутрішньо переміщені особи. Всього, з початку війни, до старостату звернулося 82 особи із заявами про взяття їх на облік як внутрішньо переміщені особи. Старостат всіляко сприяв в розміщенні та в забезпеченні продуктовими наборами та іншими</w:t>
      </w:r>
      <w:r w:rsidR="00746C42">
        <w:rPr>
          <w:rFonts w:ascii="Times New Roman" w:hAnsi="Times New Roman" w:cs="Times New Roman"/>
          <w:sz w:val="28"/>
          <w:szCs w:val="28"/>
          <w:lang w:val="uk-UA"/>
        </w:rPr>
        <w:t xml:space="preserve"> видами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 переміщени</w:t>
      </w:r>
      <w:r w:rsidR="00746C42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746C42">
        <w:rPr>
          <w:rFonts w:ascii="Times New Roman" w:hAnsi="Times New Roman" w:cs="Times New Roman"/>
          <w:sz w:val="28"/>
          <w:szCs w:val="28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lang w:val="uk-UA"/>
        </w:rPr>
        <w:t>. Постійно проводиться моніторинг переміщення даної категорії громадян.</w:t>
      </w:r>
    </w:p>
    <w:p w14:paraId="3D0AE173" w14:textId="77777777" w:rsidR="002E195B" w:rsidRDefault="002E195B" w:rsidP="002E19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жаль, у 2023 році, двоє наших земляків-героїв загинули.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</w:p>
    <w:p w14:paraId="6577C8A6" w14:textId="77777777" w:rsidR="002E195B" w:rsidRDefault="002E195B" w:rsidP="002E195B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своїй роботі працівники старостату керуються Конституцією та законами України, указами Президента України, Кабінету Міністрів України, Регламенту селищної ради, Регламенту виконавчого комітету, Положенням  про старосту сіл Савранської селищної ради. </w:t>
      </w:r>
    </w:p>
    <w:p w14:paraId="3F597A45" w14:textId="77777777" w:rsidR="002E195B" w:rsidRDefault="002E195B" w:rsidP="002E195B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Староста Полянецького старостату постійно бере участь в пленарних засіданнях селищної ради та виконавчого комітету, приймає активну участь в обговоренні питань пов’язаних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з відповідною територією.</w:t>
      </w:r>
    </w:p>
    <w:p w14:paraId="66B48D78" w14:textId="77777777" w:rsidR="002E195B" w:rsidRDefault="002E195B" w:rsidP="002E195B">
      <w:pPr>
        <w:tabs>
          <w:tab w:val="left" w:pos="750"/>
        </w:tabs>
        <w:spacing w:after="0"/>
        <w:ind w:left="-284" w:firstLine="284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Старостою ведеться прийом громадян згідно з визначеним графіком. За звітний період звернулося 53 громадян в тому числі:</w:t>
      </w:r>
    </w:p>
    <w:p w14:paraId="37A41DB8" w14:textId="77777777" w:rsidR="002E195B" w:rsidRDefault="002E195B" w:rsidP="002E195B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с.Полянецьке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- 46 громадян</w:t>
      </w:r>
    </w:p>
    <w:p w14:paraId="2E14EF9D" w14:textId="77777777" w:rsidR="002E195B" w:rsidRDefault="002E195B" w:rsidP="002E195B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с. Глибочок  -    5 громадян</w:t>
      </w:r>
    </w:p>
    <w:p w14:paraId="743936B8" w14:textId="77777777" w:rsidR="002E195B" w:rsidRDefault="002E195B" w:rsidP="002E195B">
      <w:pPr>
        <w:tabs>
          <w:tab w:val="left" w:pos="750"/>
        </w:tabs>
        <w:spacing w:after="0"/>
        <w:ind w:left="-284" w:firstLine="284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с. Островка  -     2 громадян.                                                                                                                            </w:t>
      </w:r>
    </w:p>
    <w:p w14:paraId="51F52522" w14:textId="77777777" w:rsidR="002E195B" w:rsidRPr="00746C42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Усім громадянам було надано відповідь в письмовій або усній формі в межах наданих старості повноважень.  </w:t>
      </w:r>
    </w:p>
    <w:p w14:paraId="449E5F98" w14:textId="77777777" w:rsidR="002E195B" w:rsidRDefault="00C21A83" w:rsidP="002E195B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195B">
        <w:rPr>
          <w:rFonts w:ascii="Times New Roman" w:hAnsi="Times New Roman" w:cs="Times New Roman"/>
          <w:sz w:val="28"/>
          <w:szCs w:val="28"/>
          <w:lang w:val="uk-UA"/>
        </w:rPr>
        <w:t xml:space="preserve"> За звітний період було прийнято заяв від мешканців сіл для передачі їх посадовим особам селищної ради:</w:t>
      </w:r>
    </w:p>
    <w:p w14:paraId="0AC626AF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Субсидія – 141заява</w:t>
      </w:r>
    </w:p>
    <w:p w14:paraId="6EC6C098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Пільги – 35   заяв</w:t>
      </w:r>
    </w:p>
    <w:p w14:paraId="59D769D3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Допомоги – 161 заява</w:t>
      </w:r>
    </w:p>
    <w:p w14:paraId="38039EFE" w14:textId="77777777" w:rsidR="002E195B" w:rsidRDefault="002E195B" w:rsidP="002E195B">
      <w:pPr>
        <w:tabs>
          <w:tab w:val="left" w:pos="750"/>
        </w:tabs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Принято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 на видачу довідок про отримання допомоги – 180</w:t>
      </w:r>
    </w:p>
    <w:p w14:paraId="7DF739DB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перевірку та складено 90 актів обстеження матеріально – побутових умов та умов проживання сім’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ї для призначення субсидій та компенсаційних виплат.</w:t>
      </w:r>
    </w:p>
    <w:p w14:paraId="1073809F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Надавалися різного роду довідки громадянам, всього було видано довідок – 436 шт. </w:t>
      </w:r>
    </w:p>
    <w:p w14:paraId="3A1A0331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Старостою вчинено 16 нотаріальних дій.</w:t>
      </w:r>
    </w:p>
    <w:p w14:paraId="12F947D2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Посвідчено 14 довіреностей.</w:t>
      </w:r>
    </w:p>
    <w:p w14:paraId="0044EEAD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Постійно  здійснюється моніторинг </w:t>
      </w:r>
      <w:r>
        <w:rPr>
          <w:rFonts w:ascii="Times New Roman" w:hAnsi="Times New Roman" w:cs="Times New Roman"/>
          <w:sz w:val="28"/>
          <w:szCs w:val="28"/>
          <w:lang w:val="uk-UA"/>
        </w:rPr>
        <w:t>пропозицій жителів сіл, щодо питань соціального та культурного розвитку старостату,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стану довкілля та благоустрою населених пунктів.</w:t>
      </w:r>
    </w:p>
    <w:p w14:paraId="6F851CD7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За звітний період було ліквідовано 6 стихійних сміттєзвалищ,.  Прибрані всі кладовища від сміття, постійно ведеться догляд за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безхозними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могилами,</w:t>
      </w:r>
      <w:r w:rsidR="00746C42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пам’ятниками загиблим воїнам та пам’ятним знакам жертв голодомору.  Було приведено в належний стан всі під’їзди до всіх сіл. Прибрані території біля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безхозних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домогосподарств. </w:t>
      </w:r>
    </w:p>
    <w:p w14:paraId="60B05493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Робітником по благоустрою постійно проводилися обкоси узбіч комунальних доріг та територій комунальних установ, знищення карантинних бур’янів. Завдяки нашим жителям, які мають змогу надати техніку, в селах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округу розгортається сніг та вивозиться сміття.</w:t>
      </w:r>
    </w:p>
    <w:p w14:paraId="67A965FD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Постійно відслідковувався рух земельних ділянок. Проводилась активна робота по оповіщенню громадян  про своєчасну сплату земельного податку.</w:t>
      </w:r>
    </w:p>
    <w:p w14:paraId="68BA8BE6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 xml:space="preserve">Відслідковується криміногенна ситуація на підвідомчій території. По питаннях безпеки громадян староста завжди співпрацює з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правохоронними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органами.</w:t>
      </w:r>
    </w:p>
    <w:p w14:paraId="5795F376" w14:textId="77777777" w:rsidR="002E195B" w:rsidRDefault="002E195B" w:rsidP="002E195B">
      <w:pPr>
        <w:tabs>
          <w:tab w:val="left" w:pos="750"/>
        </w:tabs>
        <w:spacing w:after="0"/>
        <w:jc w:val="both"/>
        <w:outlineLvl w:val="0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  <w:t>За звітний період всі доручення селищної ради та виконавчого комітету були виконані.</w:t>
      </w:r>
    </w:p>
    <w:p w14:paraId="2EA9C7D7" w14:textId="77777777" w:rsidR="002E195B" w:rsidRDefault="002E195B" w:rsidP="002E195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Всі офіційні документи надійно зберігаються. Діловодство та облік проводяться згідно з правилами.</w:t>
      </w:r>
    </w:p>
    <w:p w14:paraId="42645201" w14:textId="77777777" w:rsidR="002E195B" w:rsidRDefault="002E195B" w:rsidP="002E195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DAAD478" w14:textId="77777777" w:rsidR="002E195B" w:rsidRDefault="002E195B" w:rsidP="002E195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Староста Полянецького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</w:p>
    <w:p w14:paraId="3DA5CCD8" w14:textId="77777777" w:rsidR="004C5D03" w:rsidRDefault="002E195B" w:rsidP="002E195B">
      <w:r>
        <w:rPr>
          <w:rFonts w:ascii="Times New Roman" w:hAnsi="Times New Roman" w:cs="Times New Roman"/>
          <w:sz w:val="28"/>
          <w:szCs w:val="28"/>
          <w:lang w:val="uk-UA"/>
        </w:rPr>
        <w:t>округу                                                                              Володимир ДЕНИСЮК</w:t>
      </w:r>
    </w:p>
    <w:sectPr w:rsidR="004C5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25F"/>
    <w:rsid w:val="000D6DAB"/>
    <w:rsid w:val="002E195B"/>
    <w:rsid w:val="004C5D03"/>
    <w:rsid w:val="00746C42"/>
    <w:rsid w:val="007E372D"/>
    <w:rsid w:val="00B42CBF"/>
    <w:rsid w:val="00C21A83"/>
    <w:rsid w:val="00C36341"/>
    <w:rsid w:val="00F5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BA65"/>
  <w15:docId w15:val="{C291EF95-CFB5-4CA0-AB42-00B7E94B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9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2024-01-15T09:23:00Z</dcterms:created>
  <dcterms:modified xsi:type="dcterms:W3CDTF">2024-01-15T14:00:00Z</dcterms:modified>
</cp:coreProperties>
</file>