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</w:t>
            </w:r>
            <w:r w:rsidR="0043262C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43262C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03F08" w:rsidRPr="00C10D07" w:rsidRDefault="00B92C32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5124382600:01:001:0590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A97B9A" w:rsidRDefault="0043262C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C10D07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8,0363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:rsidR="00B03F08" w:rsidRPr="00C10D07" w:rsidRDefault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 – 3,6942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B6146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61460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8E3585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01C6C" w:rsidRDefault="00601C6C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>за межами</w:t>
            </w:r>
            <w:r w:rsidR="008E3585">
              <w:rPr>
                <w:color w:val="000000"/>
                <w:sz w:val="18"/>
                <w:szCs w:val="18"/>
                <w:lang w:val="uk-UA"/>
              </w:rPr>
              <w:t xml:space="preserve"> населеного пункту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B61460" w:rsidRPr="00CF055E" w:rsidRDefault="00A01DC6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43262C"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61460" w:rsidRDefault="0035227F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5124382600:01:001:059</w:t>
            </w: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61460" w:rsidRPr="00A97B9A" w:rsidRDefault="0043262C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61460" w:rsidRPr="00A01DC6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7,3707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B61460" w:rsidRPr="00C10D07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Неділкове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3262C" w:rsidRDefault="0093205B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5124382600:01:002:0565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43262C" w:rsidRPr="00A01DC6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5,3615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 Капустянка)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3262C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5124381500:01:001:0263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43262C" w:rsidRPr="00A01DC6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5,7127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3262C" w:rsidRPr="00C10D07" w:rsidTr="00711253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43262C" w:rsidRPr="00C466AC" w:rsidRDefault="0043262C" w:rsidP="00711253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43262C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43262C" w:rsidRPr="00CF055E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(смт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Саврань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43262C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5124355100:01:002:0108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43262C" w:rsidRPr="00A97B9A" w:rsidRDefault="0001130F" w:rsidP="00711253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43262C" w:rsidRPr="00A01DC6" w:rsidRDefault="0001130F" w:rsidP="0043262C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6,1478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43262C" w:rsidRPr="00C10D07" w:rsidRDefault="0001130F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3,8522</w:t>
            </w:r>
            <w:bookmarkStart w:id="0" w:name="_GoBack"/>
            <w:bookmarkEnd w:id="0"/>
          </w:p>
        </w:tc>
        <w:tc>
          <w:tcPr>
            <w:tcW w:w="1272" w:type="dxa"/>
            <w:shd w:val="clear" w:color="000000" w:fill="FFFFFF"/>
            <w:vAlign w:val="center"/>
          </w:tcPr>
          <w:p w:rsidR="0043262C" w:rsidRPr="00C10D07" w:rsidRDefault="0043262C" w:rsidP="0071125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97124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DC535-96B6-4337-A1F2-1AEE8885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Admin</cp:lastModifiedBy>
  <cp:revision>70</cp:revision>
  <cp:lastPrinted>2018-11-16T14:43:00Z</cp:lastPrinted>
  <dcterms:created xsi:type="dcterms:W3CDTF">2019-11-26T12:21:00Z</dcterms:created>
  <dcterms:modified xsi:type="dcterms:W3CDTF">2024-01-15T13:16:00Z</dcterms:modified>
</cp:coreProperties>
</file>